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4" w:rsidRDefault="0087456E" w:rsidP="002517C4">
      <w:pPr>
        <w:jc w:val="center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517C4">
        <w:rPr>
          <w:noProof/>
          <w:lang w:eastAsia="ru-RU"/>
        </w:rPr>
        <w:drawing>
          <wp:inline distT="0" distB="0" distL="0" distR="0">
            <wp:extent cx="733425" cy="666750"/>
            <wp:effectExtent l="0" t="0" r="9525" b="0"/>
            <wp:docPr id="2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C4" w:rsidRPr="00B724FD" w:rsidRDefault="002517C4" w:rsidP="002517C4">
      <w:pPr>
        <w:jc w:val="center"/>
        <w:rPr>
          <w:rFonts w:ascii="Calibri" w:hAnsi="Calibri" w:cs="Calibri"/>
          <w:lang w:val="uk-UA"/>
        </w:rPr>
      </w:pPr>
      <w:proofErr w:type="spellStart"/>
      <w:r w:rsidRPr="00B724FD">
        <w:rPr>
          <w:rFonts w:ascii="Calibri" w:hAnsi="Calibri" w:cs="Calibri"/>
        </w:rPr>
        <w:t>Товариство</w:t>
      </w:r>
      <w:proofErr w:type="spellEnd"/>
      <w:r w:rsidRPr="00B724FD">
        <w:rPr>
          <w:rFonts w:ascii="Calibri" w:hAnsi="Calibri" w:cs="Calibri"/>
        </w:rPr>
        <w:t xml:space="preserve"> з </w:t>
      </w:r>
      <w:proofErr w:type="spellStart"/>
      <w:r w:rsidRPr="00B724FD">
        <w:rPr>
          <w:rFonts w:ascii="Calibri" w:hAnsi="Calibri" w:cs="Calibri"/>
        </w:rPr>
        <w:t>обмеженою</w:t>
      </w:r>
      <w:proofErr w:type="spellEnd"/>
      <w:r w:rsidRPr="00B724FD">
        <w:rPr>
          <w:rFonts w:ascii="Calibri" w:hAnsi="Calibri" w:cs="Calibri"/>
        </w:rPr>
        <w:t xml:space="preserve"> </w:t>
      </w:r>
      <w:proofErr w:type="spellStart"/>
      <w:r w:rsidRPr="00B724FD">
        <w:rPr>
          <w:rFonts w:ascii="Calibri" w:hAnsi="Calibri" w:cs="Calibri"/>
        </w:rPr>
        <w:t>відп</w:t>
      </w:r>
      <w:proofErr w:type="spellEnd"/>
      <w:r w:rsidRPr="00B724FD">
        <w:rPr>
          <w:rFonts w:ascii="Calibri" w:hAnsi="Calibri" w:cs="Calibri"/>
          <w:lang w:val="uk-UA"/>
        </w:rPr>
        <w:t>о</w:t>
      </w:r>
      <w:proofErr w:type="spellStart"/>
      <w:r w:rsidRPr="00B724FD">
        <w:rPr>
          <w:rFonts w:ascii="Calibri" w:hAnsi="Calibri" w:cs="Calibri"/>
        </w:rPr>
        <w:t>відальністю</w:t>
      </w:r>
      <w:proofErr w:type="spellEnd"/>
      <w:r w:rsidRPr="00B724FD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uk-UA"/>
        </w:rPr>
        <w:t>«</w:t>
      </w:r>
      <w:r w:rsidRPr="00B724FD">
        <w:rPr>
          <w:rFonts w:ascii="Calibri" w:hAnsi="Calibri" w:cs="Calibri"/>
          <w:lang w:val="uk-UA"/>
        </w:rPr>
        <w:t>фінансова компанія</w:t>
      </w:r>
    </w:p>
    <w:p w:rsidR="002517C4" w:rsidRPr="002517C4" w:rsidRDefault="002517C4" w:rsidP="002517C4">
      <w:pPr>
        <w:jc w:val="center"/>
        <w:rPr>
          <w:rFonts w:ascii="Franklin Gothic Demi Cond" w:hAnsi="Franklin Gothic Demi Cond"/>
          <w:b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517C4">
        <w:rPr>
          <w:rFonts w:ascii="Franklin Gothic Demi Cond" w:hAnsi="Franklin Gothic Demi Cond"/>
          <w:b/>
          <w:outline/>
          <w:noProof/>
          <w:color w:val="C0504D" w:themeColor="accent2"/>
          <w:sz w:val="16"/>
          <w:szCs w:val="1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FEC83" wp14:editId="0A813137">
                <wp:simplePos x="0" y="0"/>
                <wp:positionH relativeFrom="margin">
                  <wp:posOffset>196215</wp:posOffset>
                </wp:positionH>
                <wp:positionV relativeFrom="paragraph">
                  <wp:posOffset>222885</wp:posOffset>
                </wp:positionV>
                <wp:extent cx="559117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476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C18E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45pt,17.55pt" to="455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3V+QEAAAMEAAAOAAAAZHJzL2Uyb0RvYy54bWysU8tu1DAU3SPxD5b3TDIj0tJoMl20gg2C&#10;EY/uXceeWPJLtpnM7IA10nwCv8ACpEqFfkPyR1w7aagAIYHYWNf33nN87sPL052SaMucF0ZXeD7L&#10;MWKamlroTYVfv3r84BFGPhBdE2k0q/CeeXy6un9v2dqSLUxjZM0cAhLty9ZWuAnBllnmacMU8TNj&#10;mYYgN06RAFe3yWpHWmBXMlvk+VHWGldbZyjzHrznQxCvEj/njIbnnHsWkKwwaAvpdOm8jGe2WpJy&#10;44htBB1lkH9QoYjQ8OhEdU4CQW+c+IVKCeqMNzzMqFGZ4VxQlmqAaub5T9W8bIhlqRZojrdTm/z/&#10;o6XPtmuHRA2zw0gTBSPqPvZv+0P3tfvUH1D/rrvpvnSfu6vuW3fVvwf7uv8Adgx216P7gOaxk631&#10;JRCe6bUbb96uXWzLjjuFuBT2Ij4UPVA62qU57Kc5sF1AFJxFcTKfHxcYUYg9PD5aFJE9G2gi2Dof&#10;njCjUDQqLIWObSIl2T71YUi9TYluqVFb4ZNi5IkyB2HJCnvJhqwXjEMrQMAgMS0hO5MObQmsD6GU&#10;6ZAKBSlSQ3aEcSHlBMyTjD8Cx/wIZWlB/wY8IdLLRocJrIQ27nevh92tZD7kQyfv1B3NS1Pv08hS&#10;ADYtNXv8FXGV794T/MffXX0HAAD//wMAUEsDBBQABgAIAAAAIQBnvBbU3AAAAAgBAAAPAAAAZHJz&#10;L2Rvd25yZXYueG1sTI/BTsMwEETvSPyDtUjcqOMQKhriVIjSM6KAxNGNlyRgr6PYbZO/ZznR02g1&#10;o5m31XryThxxjH0gDWqRgUBqgu2p1fD+tr25BxGTIWtcINQwY4R1fXlRmdKGE73icZdawSUUS6Oh&#10;S2kopYxNh97ERRiQ2PsKozeJz7GVdjQnLvdO5lm2lN70xAudGfCpw+Znd/Aaomufv+ePOWxyO86b&#10;bfzEF1VofX01PT6ASDil/zD84TM61My0DweyUTgNt9mKk6x3CgT7K6UKEHsNRb4EWVfy/IH6FwAA&#10;//8DAFBLAQItABQABgAIAAAAIQC2gziS/gAAAOEBAAATAAAAAAAAAAAAAAAAAAAAAABbQ29udGVu&#10;dF9UeXBlc10ueG1sUEsBAi0AFAAGAAgAAAAhADj9If/WAAAAlAEAAAsAAAAAAAAAAAAAAAAALwEA&#10;AF9yZWxzLy5yZWxzUEsBAi0AFAAGAAgAAAAhAHOs/dX5AQAAAwQAAA4AAAAAAAAAAAAAAAAALgIA&#10;AGRycy9lMm9Eb2MueG1sUEsBAi0AFAAGAAgAAAAhAGe8FtTcAAAACAEAAA8AAAAAAAAAAAAAAAAA&#10;UwQAAGRycy9kb3ducmV2LnhtbFBLBQYAAAAABAAEAPMAAABcBQAAAAA=&#10;" strokecolor="#4579b8 [3044]">
                <w10:wrap anchorx="margin"/>
              </v:line>
            </w:pict>
          </mc:Fallback>
        </mc:AlternateContent>
      </w:r>
      <w:r w:rsidRPr="002517C4">
        <w:rPr>
          <w:rFonts w:ascii="Franklin Gothic Demi Cond" w:hAnsi="Franklin Gothic Demi Cond"/>
          <w:b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«ГУРУ»</w:t>
      </w:r>
    </w:p>
    <w:p w:rsidR="0087456E" w:rsidRDefault="002517C4" w:rsidP="002517C4">
      <w:pPr>
        <w:jc w:val="center"/>
        <w:rPr>
          <w:sz w:val="16"/>
          <w:szCs w:val="16"/>
          <w:lang w:val="uk-UA"/>
        </w:rPr>
      </w:pPr>
      <w:r w:rsidRPr="00B724FD">
        <w:rPr>
          <w:sz w:val="16"/>
          <w:szCs w:val="16"/>
          <w:lang w:val="uk-UA"/>
        </w:rPr>
        <w:t xml:space="preserve">Ідентифікаційний </w:t>
      </w:r>
      <w:r w:rsidR="004E7D87">
        <w:rPr>
          <w:sz w:val="16"/>
          <w:szCs w:val="16"/>
          <w:lang w:val="uk-UA"/>
        </w:rPr>
        <w:t>код 43550635</w:t>
      </w:r>
    </w:p>
    <w:p w:rsidR="00072F69" w:rsidRDefault="00072F69" w:rsidP="002517C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B6D36" w:rsidRPr="00FB6D36" w:rsidRDefault="0087456E" w:rsidP="00B96F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B6D36" w:rsidRPr="0087456E">
        <w:rPr>
          <w:rFonts w:ascii="Times New Roman" w:hAnsi="Times New Roman" w:cs="Times New Roman"/>
          <w:sz w:val="24"/>
          <w:szCs w:val="24"/>
          <w:lang w:val="uk-UA"/>
        </w:rPr>
        <w:t>Згідно з Законом України "Про доступ до публічної інформації", Законом України «Про фінансові послуги та державне регулювання ринків фінансових послуг» ТОВ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«ФК</w:t>
      </w:r>
      <w:r w:rsidR="00FB6D36" w:rsidRPr="0087456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="00FB6D36" w:rsidRPr="0087456E">
        <w:rPr>
          <w:rFonts w:ascii="Times New Roman" w:hAnsi="Times New Roman" w:cs="Times New Roman"/>
          <w:sz w:val="24"/>
          <w:szCs w:val="24"/>
          <w:lang w:val="uk-UA"/>
        </w:rPr>
        <w:t xml:space="preserve">» надає Клієнту (споживачу) інформацію, визначену частиною першою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12 Закона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», 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D36" w:rsidRPr="00B96F01" w:rsidRDefault="00FB6D36" w:rsidP="00B9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установи та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обов'язковому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="00846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r w:rsidR="00846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</w:rPr>
        <w:t>ТОВ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«ФК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96F0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96F01" w:rsidRPr="00B96F01">
        <w:rPr>
          <w:color w:val="0000FF"/>
          <w:u w:val="single"/>
        </w:rPr>
        <w:t>http://www.</w:t>
      </w:r>
      <w:r w:rsidR="00B96F01">
        <w:rPr>
          <w:color w:val="0000FF"/>
          <w:u w:val="single"/>
        </w:rPr>
        <w:t>gurufin.kiev.ua</w:t>
      </w:r>
      <w:r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)   у розділі « </w:t>
      </w:r>
      <w:r w:rsidR="0084643D" w:rsidRPr="00B96F01">
        <w:rPr>
          <w:rFonts w:ascii="Times New Roman" w:hAnsi="Times New Roman" w:cs="Times New Roman"/>
          <w:sz w:val="24"/>
          <w:szCs w:val="24"/>
          <w:lang w:val="uk-UA"/>
        </w:rPr>
        <w:t>Фінансова</w:t>
      </w:r>
      <w:r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F01">
        <w:rPr>
          <w:rFonts w:ascii="Times New Roman" w:hAnsi="Times New Roman" w:cs="Times New Roman"/>
          <w:sz w:val="24"/>
          <w:szCs w:val="24"/>
          <w:lang w:val="uk-UA"/>
        </w:rPr>
        <w:t>звітност</w:t>
      </w:r>
      <w:r w:rsidR="0084643D" w:rsidRPr="00B96F01"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proofErr w:type="spellStart"/>
      <w:r w:rsidRPr="00B96F0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/>
      <w:r w:rsidR="0084643D" w:rsidRPr="00B96F01">
        <w:rPr>
          <w:lang w:val="uk-UA"/>
        </w:rPr>
        <w:t xml:space="preserve"> </w:t>
      </w:r>
      <w:r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7" w:history="1">
        <w:r w:rsidR="00B96F01" w:rsidRPr="000A2B5D">
          <w:rPr>
            <w:rStyle w:val="a3"/>
          </w:rPr>
          <w:t>http://www.gurufin.kiev.ua/zvit.html</w:t>
        </w:r>
      </w:hyperlink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</w:p>
    <w:p w:rsidR="00B96F01" w:rsidRPr="00B96F01" w:rsidRDefault="00B96F01" w:rsidP="00B96F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2F69" w:rsidRPr="00072F69" w:rsidRDefault="0084643D" w:rsidP="00072F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установи</w:t>
      </w:r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на</w:t>
      </w:r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F01" w:rsidRPr="00FB6D36">
        <w:rPr>
          <w:rFonts w:ascii="Times New Roman" w:hAnsi="Times New Roman" w:cs="Times New Roman"/>
          <w:sz w:val="24"/>
          <w:szCs w:val="24"/>
        </w:rPr>
        <w:t>ТОВ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gramEnd"/>
      <w:r w:rsidR="00B96F01">
        <w:rPr>
          <w:rFonts w:ascii="Times New Roman" w:hAnsi="Times New Roman" w:cs="Times New Roman"/>
          <w:sz w:val="24"/>
          <w:szCs w:val="24"/>
          <w:lang w:val="uk-UA"/>
        </w:rPr>
        <w:t>ФК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96F01" w:rsidRPr="00B96F01">
        <w:rPr>
          <w:color w:val="0000FF"/>
          <w:u w:val="single"/>
        </w:rPr>
        <w:t>http://www.</w:t>
      </w:r>
      <w:r w:rsidR="00B96F01">
        <w:rPr>
          <w:color w:val="0000FF"/>
          <w:u w:val="single"/>
        </w:rPr>
        <w:t>gurufin.kiev.ua</w:t>
      </w:r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у</w:t>
      </w:r>
      <w:r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B96F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Головна</w:t>
      </w:r>
      <w:r w:rsidRPr="00B96F01">
        <w:rPr>
          <w:rFonts w:ascii="Times New Roman" w:hAnsi="Times New Roman" w:cs="Times New Roman"/>
          <w:sz w:val="24"/>
          <w:szCs w:val="24"/>
        </w:rPr>
        <w:t>»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643D" w:rsidRPr="00072F69" w:rsidRDefault="0084643D" w:rsidP="00927A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фінансовою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ТОВ 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 xml:space="preserve">«ФК </w:t>
      </w:r>
      <w:r w:rsidRPr="00987716">
        <w:rPr>
          <w:rFonts w:ascii="Times New Roman" w:hAnsi="Times New Roman" w:cs="Times New Roman"/>
          <w:sz w:val="24"/>
          <w:szCs w:val="24"/>
        </w:rPr>
        <w:t>«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Pr="00987716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r w:rsidR="0044010A" w:rsidRPr="00987716">
        <w:rPr>
          <w:rFonts w:ascii="Times New Roman" w:hAnsi="Times New Roman" w:cs="Times New Roman"/>
          <w:sz w:val="24"/>
          <w:szCs w:val="24"/>
          <w:lang w:val="uk-UA"/>
        </w:rPr>
        <w:t xml:space="preserve">майбутніх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ліцензій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 w:rsidRPr="00987716">
        <w:rPr>
          <w:rFonts w:ascii="Times New Roman" w:hAnsi="Times New Roman" w:cs="Times New Roman"/>
          <w:sz w:val="24"/>
          <w:szCs w:val="24"/>
        </w:rPr>
        <w:t xml:space="preserve">): </w:t>
      </w:r>
      <w:r w:rsidR="00987716" w:rsidRPr="009877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позику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кредиту</w:t>
      </w:r>
      <w:r w:rsidR="00987716" w:rsidRPr="0098771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87716" w:rsidRPr="0098771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з факторингу</w:t>
      </w:r>
      <w:r w:rsidR="00987716" w:rsidRPr="0098771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87716" w:rsidRPr="0098771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лізингу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>;</w:t>
      </w:r>
      <w:r w:rsidRPr="009877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7716">
        <w:rPr>
          <w:rFonts w:ascii="Times New Roman" w:hAnsi="Times New Roman" w:cs="Times New Roman"/>
          <w:sz w:val="24"/>
          <w:szCs w:val="24"/>
        </w:rPr>
        <w:t>на</w:t>
      </w:r>
      <w:r w:rsidR="00987716" w:rsidRPr="00987716">
        <w:rPr>
          <w:rFonts w:ascii="Times New Roman" w:hAnsi="Times New Roman" w:cs="Times New Roman"/>
          <w:sz w:val="24"/>
          <w:szCs w:val="24"/>
        </w:rPr>
        <w:t>дання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716" w:rsidRPr="00987716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="00987716" w:rsidRPr="00987716">
        <w:rPr>
          <w:rFonts w:ascii="Times New Roman" w:hAnsi="Times New Roman" w:cs="Times New Roman"/>
          <w:sz w:val="24"/>
          <w:szCs w:val="24"/>
        </w:rPr>
        <w:t xml:space="preserve"> та поручительств</w:t>
      </w:r>
      <w:r w:rsidRPr="00987716">
        <w:rPr>
          <w:rFonts w:ascii="Times New Roman" w:hAnsi="Times New Roman" w:cs="Times New Roman"/>
          <w:sz w:val="24"/>
          <w:szCs w:val="24"/>
        </w:rPr>
        <w:t xml:space="preserve"> 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B96F01" w:rsidRPr="0098771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="00B96F01" w:rsidRPr="0098771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96F01" w:rsidRPr="0098771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B96F01" w:rsidRPr="0098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01" w:rsidRPr="0098771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B96F01" w:rsidRPr="00987716">
        <w:rPr>
          <w:rFonts w:ascii="Times New Roman" w:hAnsi="Times New Roman" w:cs="Times New Roman"/>
          <w:sz w:val="24"/>
          <w:szCs w:val="24"/>
        </w:rPr>
        <w:t xml:space="preserve"> ТОВ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 xml:space="preserve">  «ФК« ГУРУ » (</w:t>
      </w:r>
      <w:r w:rsidR="00B96F01" w:rsidRPr="00987716">
        <w:rPr>
          <w:color w:val="0000FF"/>
          <w:u w:val="single"/>
        </w:rPr>
        <w:t>http://www.gurufin.kiev.ua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="00B96F01" w:rsidRPr="009877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96F01" w:rsidRPr="00987716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="00B96F01" w:rsidRPr="00987716">
        <w:rPr>
          <w:rFonts w:ascii="Times New Roman" w:hAnsi="Times New Roman" w:cs="Times New Roman"/>
          <w:sz w:val="24"/>
          <w:szCs w:val="24"/>
        </w:rPr>
        <w:t xml:space="preserve"> «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>Головна</w:t>
      </w:r>
      <w:r w:rsidR="00B96F01" w:rsidRPr="00987716">
        <w:rPr>
          <w:rFonts w:ascii="Times New Roman" w:hAnsi="Times New Roman" w:cs="Times New Roman"/>
          <w:sz w:val="24"/>
          <w:szCs w:val="24"/>
        </w:rPr>
        <w:t>»</w:t>
      </w:r>
      <w:r w:rsidR="002517C4">
        <w:rPr>
          <w:rFonts w:ascii="Times New Roman" w:hAnsi="Times New Roman" w:cs="Times New Roman"/>
          <w:sz w:val="24"/>
          <w:szCs w:val="24"/>
          <w:lang w:val="uk-UA"/>
        </w:rPr>
        <w:t xml:space="preserve"> та «Інформація для </w:t>
      </w:r>
      <w:proofErr w:type="spellStart"/>
      <w:r w:rsidR="002517C4">
        <w:rPr>
          <w:rFonts w:ascii="Times New Roman" w:hAnsi="Times New Roman" w:cs="Times New Roman"/>
          <w:sz w:val="24"/>
          <w:szCs w:val="24"/>
          <w:lang w:val="uk-UA"/>
        </w:rPr>
        <w:t>кліента</w:t>
      </w:r>
      <w:proofErr w:type="spellEnd"/>
      <w:r w:rsidR="002517C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96F01" w:rsidRPr="009877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2F69" w:rsidRPr="00987716" w:rsidRDefault="00072F69" w:rsidP="00072F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643D" w:rsidRPr="00072F69" w:rsidRDefault="0084643D" w:rsidP="00B96F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та поручительств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лізингу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з факторингу –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договірна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позику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кредиту – </w:t>
      </w:r>
      <w:r w:rsidR="0044010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84643D">
        <w:rPr>
          <w:rFonts w:ascii="Times New Roman" w:hAnsi="Times New Roman" w:cs="Times New Roman"/>
          <w:sz w:val="24"/>
          <w:szCs w:val="24"/>
        </w:rPr>
        <w:t xml:space="preserve">,00 ( з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) та </w:t>
      </w:r>
      <w:r w:rsidR="0044010A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84643D">
        <w:rPr>
          <w:rFonts w:ascii="Times New Roman" w:hAnsi="Times New Roman" w:cs="Times New Roman"/>
          <w:sz w:val="24"/>
          <w:szCs w:val="24"/>
        </w:rPr>
        <w:t xml:space="preserve">,00 (без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процентів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="002517C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17C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2517C4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25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7C4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2517C4">
        <w:rPr>
          <w:rFonts w:ascii="Times New Roman" w:hAnsi="Times New Roman" w:cs="Times New Roman"/>
          <w:sz w:val="24"/>
          <w:szCs w:val="24"/>
          <w:lang w:val="uk-UA"/>
        </w:rPr>
        <w:t xml:space="preserve">та ФОП </w:t>
      </w:r>
      <w:r w:rsidRPr="0084643D">
        <w:rPr>
          <w:rFonts w:ascii="Times New Roman" w:hAnsi="Times New Roman" w:cs="Times New Roman"/>
          <w:sz w:val="24"/>
          <w:szCs w:val="24"/>
        </w:rPr>
        <w:t xml:space="preserve">до 60,00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процентів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7C4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B96F01" w:rsidRPr="0084643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B96F01" w:rsidRPr="0084643D">
        <w:rPr>
          <w:rFonts w:ascii="Times New Roman" w:hAnsi="Times New Roman" w:cs="Times New Roman"/>
          <w:sz w:val="24"/>
          <w:szCs w:val="24"/>
        </w:rPr>
        <w:t>на</w:t>
      </w:r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01" w:rsidRPr="008464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01" w:rsidRPr="008464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B96F01" w:rsidRPr="00FB6D36">
        <w:rPr>
          <w:rFonts w:ascii="Times New Roman" w:hAnsi="Times New Roman" w:cs="Times New Roman"/>
          <w:sz w:val="24"/>
          <w:szCs w:val="24"/>
        </w:rPr>
        <w:t>ТОВ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«ФК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="00B96F01"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96F01" w:rsidRPr="00B96F01">
        <w:rPr>
          <w:color w:val="0000FF"/>
          <w:u w:val="single"/>
        </w:rPr>
        <w:t>http://www.</w:t>
      </w:r>
      <w:r w:rsidR="00B96F01">
        <w:rPr>
          <w:color w:val="0000FF"/>
          <w:u w:val="single"/>
        </w:rPr>
        <w:t>gurufin.kiev.ua</w:t>
      </w:r>
      <w:r w:rsidR="00B96F01"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B96F01" w:rsidRPr="0084643D">
        <w:rPr>
          <w:rFonts w:ascii="Times New Roman" w:hAnsi="Times New Roman" w:cs="Times New Roman"/>
          <w:sz w:val="24"/>
          <w:szCs w:val="24"/>
        </w:rPr>
        <w:t>у</w:t>
      </w:r>
      <w:r w:rsidR="00B96F01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01" w:rsidRPr="0084643D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="00B96F01" w:rsidRPr="00B96F01">
        <w:rPr>
          <w:rFonts w:ascii="Times New Roman" w:hAnsi="Times New Roman" w:cs="Times New Roman"/>
          <w:sz w:val="24"/>
          <w:szCs w:val="24"/>
        </w:rPr>
        <w:t xml:space="preserve"> «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Головна</w:t>
      </w:r>
      <w:r w:rsidR="00B96F01" w:rsidRPr="00B96F01">
        <w:rPr>
          <w:rFonts w:ascii="Times New Roman" w:hAnsi="Times New Roman" w:cs="Times New Roman"/>
          <w:sz w:val="24"/>
          <w:szCs w:val="24"/>
        </w:rPr>
        <w:t>»</w:t>
      </w:r>
      <w:r w:rsidR="002517C4">
        <w:rPr>
          <w:rFonts w:ascii="Times New Roman" w:hAnsi="Times New Roman" w:cs="Times New Roman"/>
          <w:sz w:val="24"/>
          <w:szCs w:val="24"/>
          <w:lang w:val="uk-UA"/>
        </w:rPr>
        <w:t xml:space="preserve"> та «Інформація для </w:t>
      </w:r>
      <w:proofErr w:type="spellStart"/>
      <w:r w:rsidR="002517C4">
        <w:rPr>
          <w:rFonts w:ascii="Times New Roman" w:hAnsi="Times New Roman" w:cs="Times New Roman"/>
          <w:sz w:val="24"/>
          <w:szCs w:val="24"/>
          <w:lang w:val="uk-UA"/>
        </w:rPr>
        <w:t>кліента</w:t>
      </w:r>
      <w:proofErr w:type="spellEnd"/>
      <w:r w:rsidR="002517C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96F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2F69" w:rsidRPr="00B96F01" w:rsidRDefault="00072F69" w:rsidP="00072F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456E" w:rsidRDefault="00987716" w:rsidP="008745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відсутність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відокремленних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підрозділів, відомостей про єдиного учасника товариства, відсутність  власників істотної участі у статутному капіталі</w:t>
      </w:r>
      <w:r w:rsidR="0087456E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3D" w:rsidRPr="008464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43D" w:rsidRPr="0084643D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3D" w:rsidRPr="0084643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 у статутному </w:t>
      </w:r>
      <w:proofErr w:type="spellStart"/>
      <w:r w:rsidR="0084643D" w:rsidRPr="0084643D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3D"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="0084643D" w:rsidRPr="0084643D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87456E">
        <w:rPr>
          <w:rFonts w:ascii="Times New Roman" w:hAnsi="Times New Roman" w:cs="Times New Roman"/>
          <w:sz w:val="24"/>
          <w:szCs w:val="24"/>
        </w:rPr>
        <w:t xml:space="preserve">ови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="0087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п'ять</w:t>
      </w:r>
      <w:proofErr w:type="spellEnd"/>
      <w:r w:rsidR="0087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="0087456E">
        <w:rPr>
          <w:rFonts w:ascii="Times New Roman" w:hAnsi="Times New Roman" w:cs="Times New Roman"/>
          <w:sz w:val="24"/>
          <w:szCs w:val="24"/>
        </w:rPr>
        <w:t xml:space="preserve"> -</w:t>
      </w:r>
      <w:r w:rsidR="0084643D"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 w:rsidRPr="0084643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87456E" w:rsidRPr="0084643D">
        <w:rPr>
          <w:rFonts w:ascii="Times New Roman" w:hAnsi="Times New Roman" w:cs="Times New Roman"/>
          <w:sz w:val="24"/>
          <w:szCs w:val="24"/>
        </w:rPr>
        <w:t>на</w:t>
      </w:r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 w:rsidRPr="008464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 w:rsidRPr="008464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84643D" w:rsidRPr="0084643D">
        <w:rPr>
          <w:rFonts w:ascii="Times New Roman" w:hAnsi="Times New Roman" w:cs="Times New Roman"/>
          <w:sz w:val="24"/>
          <w:szCs w:val="24"/>
        </w:rPr>
        <w:t xml:space="preserve">ТОВ </w:t>
      </w:r>
      <w:r w:rsidR="0087456E">
        <w:rPr>
          <w:rFonts w:ascii="Times New Roman" w:hAnsi="Times New Roman" w:cs="Times New Roman"/>
          <w:sz w:val="24"/>
          <w:szCs w:val="24"/>
          <w:lang w:val="uk-UA"/>
        </w:rPr>
        <w:t xml:space="preserve">«ФК </w:t>
      </w:r>
      <w:r w:rsidR="0084643D" w:rsidRPr="0084643D">
        <w:rPr>
          <w:rFonts w:ascii="Times New Roman" w:hAnsi="Times New Roman" w:cs="Times New Roman"/>
          <w:sz w:val="24"/>
          <w:szCs w:val="24"/>
        </w:rPr>
        <w:t>«</w:t>
      </w:r>
      <w:r w:rsidR="0087456E">
        <w:rPr>
          <w:rFonts w:ascii="Times New Roman" w:hAnsi="Times New Roman" w:cs="Times New Roman"/>
          <w:sz w:val="24"/>
          <w:szCs w:val="24"/>
          <w:lang w:val="uk-UA"/>
        </w:rPr>
        <w:t>ГУРУ</w:t>
      </w:r>
      <w:r w:rsidR="004401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56E">
        <w:rPr>
          <w:rFonts w:ascii="Times New Roman" w:hAnsi="Times New Roman" w:cs="Times New Roman"/>
          <w:sz w:val="24"/>
          <w:szCs w:val="24"/>
        </w:rPr>
        <w:t xml:space="preserve">» не є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акціонерним</w:t>
      </w:r>
      <w:proofErr w:type="spellEnd"/>
      <w:r w:rsidR="0087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="0087456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7456E" w:rsidRPr="00B96F0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7456E" w:rsidRPr="00B96F01">
        <w:rPr>
          <w:color w:val="0000FF"/>
          <w:u w:val="single"/>
        </w:rPr>
        <w:t>http://www.</w:t>
      </w:r>
      <w:r w:rsidR="0087456E">
        <w:rPr>
          <w:color w:val="0000FF"/>
          <w:u w:val="single"/>
        </w:rPr>
        <w:t>gurufin.kiev.ua</w:t>
      </w:r>
      <w:r w:rsidR="0087456E" w:rsidRPr="00B96F01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r w:rsidR="0087456E" w:rsidRPr="0084643D">
        <w:rPr>
          <w:rFonts w:ascii="Times New Roman" w:hAnsi="Times New Roman" w:cs="Times New Roman"/>
          <w:sz w:val="24"/>
          <w:szCs w:val="24"/>
        </w:rPr>
        <w:t>у</w:t>
      </w:r>
      <w:r w:rsidR="0087456E" w:rsidRPr="00B9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6E" w:rsidRPr="0084643D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="0087456E" w:rsidRPr="00B96F01">
        <w:rPr>
          <w:rFonts w:ascii="Times New Roman" w:hAnsi="Times New Roman" w:cs="Times New Roman"/>
          <w:sz w:val="24"/>
          <w:szCs w:val="24"/>
        </w:rPr>
        <w:t xml:space="preserve"> «</w:t>
      </w:r>
      <w:r w:rsidR="0087456E">
        <w:rPr>
          <w:rFonts w:ascii="Times New Roman" w:hAnsi="Times New Roman" w:cs="Times New Roman"/>
          <w:sz w:val="24"/>
          <w:szCs w:val="24"/>
          <w:lang w:val="uk-UA"/>
        </w:rPr>
        <w:t>Головна</w:t>
      </w:r>
      <w:r w:rsidR="0087456E" w:rsidRPr="00B96F01">
        <w:rPr>
          <w:rFonts w:ascii="Times New Roman" w:hAnsi="Times New Roman" w:cs="Times New Roman"/>
          <w:sz w:val="24"/>
          <w:szCs w:val="24"/>
        </w:rPr>
        <w:t>»</w:t>
      </w:r>
      <w:r w:rsidR="0087456E">
        <w:rPr>
          <w:rFonts w:ascii="Times New Roman" w:hAnsi="Times New Roman" w:cs="Times New Roman"/>
          <w:sz w:val="24"/>
          <w:szCs w:val="24"/>
          <w:lang w:val="uk-UA"/>
        </w:rPr>
        <w:t xml:space="preserve"> та «Фінансова звітність».</w:t>
      </w:r>
    </w:p>
    <w:p w:rsidR="007A382E" w:rsidRDefault="007A382E" w:rsidP="007A38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«ФК «ГУРУ» надає наступні фінансові послуги:</w:t>
      </w:r>
    </w:p>
    <w:p w:rsidR="007A382E" w:rsidRPr="007A382E" w:rsidRDefault="007A382E" w:rsidP="007A382E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7A382E">
        <w:rPr>
          <w:rStyle w:val="rvts23"/>
          <w:rFonts w:eastAsiaTheme="majorEastAsia" w:cs="Times New Roman"/>
          <w:noProof/>
          <w:sz w:val="24"/>
          <w:szCs w:val="24"/>
        </w:rPr>
        <w:t xml:space="preserve">             □ надання коштів у позику, в тому числі і на умовах фінансового кредиту;</w:t>
      </w:r>
    </w:p>
    <w:p w:rsidR="007A382E" w:rsidRPr="007A382E" w:rsidRDefault="007A382E" w:rsidP="007A382E">
      <w:pPr>
        <w:pStyle w:val="a6"/>
        <w:rPr>
          <w:rFonts w:ascii="Times New Roman" w:hAnsi="Times New Roman" w:cs="Times New Roman"/>
          <w:noProof/>
          <w:sz w:val="24"/>
          <w:szCs w:val="24"/>
        </w:rPr>
      </w:pPr>
      <w:r w:rsidRPr="007A382E">
        <w:rPr>
          <w:rStyle w:val="rvts23"/>
          <w:rFonts w:eastAsiaTheme="majorEastAsia" w:cs="Times New Roman"/>
          <w:noProof/>
          <w:sz w:val="24"/>
          <w:szCs w:val="24"/>
        </w:rPr>
        <w:t xml:space="preserve">             □ надання послуг факторингу;</w:t>
      </w:r>
    </w:p>
    <w:p w:rsidR="007A382E" w:rsidRPr="007A382E" w:rsidRDefault="007A382E" w:rsidP="007A382E">
      <w:pPr>
        <w:pStyle w:val="a6"/>
        <w:rPr>
          <w:rStyle w:val="rvts23"/>
          <w:rFonts w:eastAsiaTheme="majorEastAsia" w:cs="Times New Roman"/>
          <w:noProof/>
          <w:sz w:val="24"/>
          <w:szCs w:val="24"/>
        </w:rPr>
      </w:pPr>
      <w:r w:rsidRPr="007A382E">
        <w:rPr>
          <w:rStyle w:val="rvts23"/>
          <w:rFonts w:eastAsiaTheme="majorEastAsia" w:cs="Times New Roman"/>
          <w:noProof/>
          <w:sz w:val="24"/>
          <w:szCs w:val="24"/>
        </w:rPr>
        <w:t xml:space="preserve">             □ надання послуг фінансового лізингу;</w:t>
      </w:r>
    </w:p>
    <w:p w:rsidR="007A382E" w:rsidRPr="007A382E" w:rsidRDefault="007A382E" w:rsidP="007A382E">
      <w:pPr>
        <w:pStyle w:val="a6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7A382E">
        <w:rPr>
          <w:rStyle w:val="rvts23"/>
          <w:rFonts w:eastAsiaTheme="majorEastAsia" w:cs="Times New Roman"/>
          <w:noProof/>
          <w:sz w:val="24"/>
          <w:szCs w:val="24"/>
        </w:rPr>
        <w:t xml:space="preserve">             □ надання гарантій та поручительств</w:t>
      </w:r>
      <w:r w:rsidRPr="007A382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.</w:t>
      </w:r>
    </w:p>
    <w:p w:rsidR="007A382E" w:rsidRPr="007A382E" w:rsidRDefault="007A382E" w:rsidP="007A382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A382E" w:rsidRPr="007A382E" w:rsidRDefault="007A382E" w:rsidP="007A382E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Вартість, ціни/тарифи, розмір плати (проценти) щодо фінансових послуг залежно від виду фінансової послуги :</w:t>
      </w:r>
    </w:p>
    <w:p w:rsidR="00B37599" w:rsidRDefault="007A382E" w:rsidP="007A382E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7.1.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Надання коштів у позику, в тому числі і на умовах фінансового кредиту</w:t>
      </w:r>
      <w:r w:rsidR="00B37599" w:rsidRPr="007A38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382E" w:rsidRPr="007A382E" w:rsidRDefault="007A382E" w:rsidP="007A38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до 3-ох місяців включно - </w:t>
      </w:r>
      <w:r w:rsidR="00B37599" w:rsidRPr="007A382E">
        <w:rPr>
          <w:rFonts w:ascii="Times New Roman" w:hAnsi="Times New Roman" w:cs="Times New Roman"/>
          <w:sz w:val="24"/>
          <w:szCs w:val="24"/>
        </w:rPr>
        <w:t xml:space="preserve">25% </w:t>
      </w:r>
      <w:proofErr w:type="spellStart"/>
      <w:r w:rsidR="00B37599" w:rsidRPr="007A382E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="00B37599" w:rsidRPr="007A382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від 3-ох до 12-ти місяців включно – 26% річних;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більше 12-ти місяців – 27% річних.</w:t>
      </w:r>
    </w:p>
    <w:p w:rsidR="00072F69" w:rsidRPr="007A382E" w:rsidRDefault="00072F69" w:rsidP="007A38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7.2.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Надання послуг з факторингу:</w:t>
      </w:r>
    </w:p>
    <w:p w:rsidR="007A382E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фінансування під відступлення права грошової вимоги – ціна за домовленістю сторін;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фінансування під дебіторську заборгованість – від 28% річних у гривні.</w:t>
      </w:r>
    </w:p>
    <w:p w:rsidR="00072F69" w:rsidRPr="007A382E" w:rsidRDefault="00072F69" w:rsidP="007A38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37599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7.3.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послуг с фінансового лізингу -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фінансовий лізинг на обладнання (авто) іноземного виробництва у гривні *, детальніше:</w:t>
      </w:r>
    </w:p>
    <w:p w:rsidR="007A382E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плаваюча відсоткова ставка: 18,99% (розраховується на основі ставки </w:t>
      </w:r>
      <w:r w:rsidR="00B37599" w:rsidRPr="007A382E">
        <w:rPr>
          <w:rFonts w:ascii="Times New Roman" w:hAnsi="Times New Roman" w:cs="Times New Roman"/>
          <w:sz w:val="24"/>
          <w:szCs w:val="24"/>
          <w:lang w:val="en-US"/>
        </w:rPr>
        <w:t>UIRD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3М*);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аванс від 15% до 70%;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термін фінансування : від 12 до 60 місяців;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адміністративна комісія: 1,5% від вартості авто;</w:t>
      </w:r>
    </w:p>
    <w:p w:rsidR="00B37599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-с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тавка переглядається щоквартально  у випадку, якщо </w:t>
      </w:r>
      <w:r w:rsidR="00B37599" w:rsidRPr="007A382E">
        <w:rPr>
          <w:rFonts w:ascii="Times New Roman" w:hAnsi="Times New Roman" w:cs="Times New Roman"/>
          <w:sz w:val="24"/>
          <w:szCs w:val="24"/>
          <w:lang w:val="en-US"/>
        </w:rPr>
        <w:t>UIRD</w:t>
      </w:r>
      <w:r w:rsidR="00B37599" w:rsidRPr="007A382E">
        <w:rPr>
          <w:rFonts w:ascii="Times New Roman" w:hAnsi="Times New Roman" w:cs="Times New Roman"/>
          <w:sz w:val="24"/>
          <w:szCs w:val="24"/>
        </w:rPr>
        <w:t xml:space="preserve">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зміниться більше, ніж на 1% пункт.</w:t>
      </w:r>
    </w:p>
    <w:p w:rsidR="007A382E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37599" w:rsidRDefault="00B37599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UIRD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Ukrainian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Deposits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82E">
        <w:rPr>
          <w:rFonts w:ascii="Times New Roman" w:hAnsi="Times New Roman" w:cs="Times New Roman"/>
          <w:sz w:val="24"/>
          <w:szCs w:val="24"/>
          <w:lang w:val="en-US"/>
        </w:rPr>
        <w:t>Rates</w:t>
      </w: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) – </w:t>
      </w:r>
      <w:proofErr w:type="spellStart"/>
      <w:r w:rsidRPr="007A382E">
        <w:rPr>
          <w:rFonts w:ascii="Times New Roman" w:hAnsi="Times New Roman" w:cs="Times New Roman"/>
          <w:sz w:val="24"/>
          <w:szCs w:val="24"/>
          <w:lang w:val="uk-UA"/>
        </w:rPr>
        <w:t>трьохмісячна</w:t>
      </w:r>
      <w:proofErr w:type="spellEnd"/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ставка українського індексу ставок за депозитами фізичних осіб.  </w:t>
      </w:r>
    </w:p>
    <w:p w:rsidR="007A382E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7.4. 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Надання гарантій та </w:t>
      </w:r>
      <w:proofErr w:type="spellStart"/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поручительств</w:t>
      </w:r>
      <w:proofErr w:type="spellEnd"/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A382E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тендерна гарантія – від 0,5% від суми гарантії;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гарантія для туроператорів:</w:t>
      </w:r>
      <w:bookmarkStart w:id="0" w:name="_GoBack"/>
      <w:bookmarkEnd w:id="0"/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туроператор на 5 років – 12000 грн.</w:t>
      </w:r>
    </w:p>
    <w:p w:rsidR="00B37599" w:rsidRPr="007A382E" w:rsidRDefault="007A382E" w:rsidP="007A382E">
      <w:pPr>
        <w:pStyle w:val="a6"/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>турагент</w:t>
      </w:r>
      <w:proofErr w:type="spellEnd"/>
      <w:r w:rsidR="00B37599" w:rsidRPr="007A382E">
        <w:rPr>
          <w:rFonts w:ascii="Times New Roman" w:hAnsi="Times New Roman" w:cs="Times New Roman"/>
          <w:sz w:val="24"/>
          <w:szCs w:val="24"/>
          <w:lang w:val="uk-UA"/>
        </w:rPr>
        <w:t xml:space="preserve"> на 5 років – 3000 грн.</w:t>
      </w:r>
    </w:p>
    <w:p w:rsidR="00072F69" w:rsidRPr="00072F69" w:rsidRDefault="00072F69" w:rsidP="00B37599">
      <w:pPr>
        <w:jc w:val="center"/>
        <w:rPr>
          <w:rFonts w:ascii="Times New Roman" w:hAnsi="Times New Roman"/>
          <w:sz w:val="24"/>
          <w:szCs w:val="24"/>
        </w:rPr>
      </w:pPr>
    </w:p>
    <w:p w:rsidR="005748E3" w:rsidRPr="00072F69" w:rsidRDefault="005748E3" w:rsidP="00B37599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748E3" w:rsidRPr="0007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5AA"/>
    <w:multiLevelType w:val="hybridMultilevel"/>
    <w:tmpl w:val="BAB40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749"/>
    <w:multiLevelType w:val="hybridMultilevel"/>
    <w:tmpl w:val="4FF4B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01770C"/>
    <w:multiLevelType w:val="hybridMultilevel"/>
    <w:tmpl w:val="E97E332C"/>
    <w:lvl w:ilvl="0" w:tplc="7AA8E4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72E3CA3"/>
    <w:multiLevelType w:val="hybridMultilevel"/>
    <w:tmpl w:val="D81E93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0613F6"/>
    <w:multiLevelType w:val="hybridMultilevel"/>
    <w:tmpl w:val="DD5218FE"/>
    <w:lvl w:ilvl="0" w:tplc="A1327772"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4C11A35"/>
    <w:multiLevelType w:val="hybridMultilevel"/>
    <w:tmpl w:val="1C10D6A0"/>
    <w:lvl w:ilvl="0" w:tplc="7AA8E4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36"/>
    <w:rsid w:val="00072F69"/>
    <w:rsid w:val="002517C4"/>
    <w:rsid w:val="0044010A"/>
    <w:rsid w:val="004E7D87"/>
    <w:rsid w:val="005748E3"/>
    <w:rsid w:val="007A382E"/>
    <w:rsid w:val="0084643D"/>
    <w:rsid w:val="0087456E"/>
    <w:rsid w:val="00987716"/>
    <w:rsid w:val="00B37599"/>
    <w:rsid w:val="00B96F01"/>
    <w:rsid w:val="00F6205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08C4"/>
  <w15:docId w15:val="{BBB55AA9-8314-4575-92DE-62A25AFA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D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D36"/>
    <w:pPr>
      <w:ind w:left="720"/>
      <w:contextualSpacing/>
    </w:pPr>
  </w:style>
  <w:style w:type="character" w:customStyle="1" w:styleId="xfm37118331">
    <w:name w:val="xfm_37118331"/>
    <w:basedOn w:val="a0"/>
    <w:rsid w:val="002517C4"/>
  </w:style>
  <w:style w:type="paragraph" w:styleId="a5">
    <w:name w:val="Normal (Web)"/>
    <w:basedOn w:val="a"/>
    <w:uiPriority w:val="99"/>
    <w:unhideWhenUsed/>
    <w:rsid w:val="00B375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rvts23">
    <w:name w:val="rvts23"/>
    <w:rsid w:val="00B37599"/>
    <w:rPr>
      <w:rFonts w:ascii="Times New Roman" w:hAnsi="Times New Roman"/>
    </w:rPr>
  </w:style>
  <w:style w:type="paragraph" w:styleId="a6">
    <w:name w:val="No Spacing"/>
    <w:uiPriority w:val="1"/>
    <w:qFormat/>
    <w:rsid w:val="007A3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rufin.kiev.ua/zv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hmaurf.datastealth.net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Чумак</cp:lastModifiedBy>
  <cp:revision>8</cp:revision>
  <dcterms:created xsi:type="dcterms:W3CDTF">2019-04-15T14:26:00Z</dcterms:created>
  <dcterms:modified xsi:type="dcterms:W3CDTF">2020-06-04T12:13:00Z</dcterms:modified>
</cp:coreProperties>
</file>